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eastAsia="Times New Roman" w:hAnsi="PT Astra Serif" w:cs="Times New Roman"/>
          <w:sz w:val="28"/>
          <w:szCs w:val="20"/>
        </w:rPr>
      </w:pPr>
      <w:r>
        <w:rPr>
          <w:rFonts w:ascii="PT Astra Serif" w:eastAsia="Times New Roman" w:hAnsi="PT Astra Serif" w:cs="Times New Roman"/>
          <w:sz w:val="28"/>
          <w:szCs w:val="20"/>
        </w:rPr>
        <w:t>Приложение № 1</w:t>
      </w:r>
    </w:p>
    <w:p>
      <w:pPr>
        <w:spacing w:after="0" w:line="240" w:lineRule="auto"/>
        <w:ind w:left="9639"/>
        <w:rPr>
          <w:rFonts w:ascii="PT Astra Serif" w:eastAsia="Times New Roman" w:hAnsi="PT Astra Serif" w:cs="Times New Roman"/>
          <w:sz w:val="28"/>
          <w:szCs w:val="20"/>
        </w:rPr>
      </w:pPr>
      <w:r>
        <w:rPr>
          <w:rFonts w:ascii="PT Astra Serif" w:eastAsia="Times New Roman" w:hAnsi="PT Astra Serif" w:cs="Times New Roman"/>
          <w:sz w:val="28"/>
          <w:szCs w:val="20"/>
        </w:rPr>
        <w:t>УТВЕРЖДЕНА</w:t>
      </w:r>
    </w:p>
    <w:p>
      <w:pPr>
        <w:spacing w:after="0" w:line="240" w:lineRule="auto"/>
        <w:ind w:left="9639"/>
        <w:rPr>
          <w:rFonts w:ascii="PT Astra Serif" w:eastAsia="Times New Roman" w:hAnsi="PT Astra Serif" w:cs="Times New Roman"/>
          <w:sz w:val="28"/>
          <w:szCs w:val="20"/>
        </w:rPr>
      </w:pPr>
      <w:r>
        <w:rPr>
          <w:rFonts w:ascii="PT Astra Serif" w:eastAsia="Times New Roman" w:hAnsi="PT Astra Serif" w:cs="Times New Roman"/>
          <w:sz w:val="28"/>
          <w:szCs w:val="20"/>
        </w:rPr>
        <w:t xml:space="preserve">распоряжением </w:t>
      </w:r>
    </w:p>
    <w:p>
      <w:pPr>
        <w:spacing w:after="0" w:line="240" w:lineRule="auto"/>
        <w:ind w:left="9639"/>
        <w:rPr>
          <w:rFonts w:ascii="PT Astra Serif" w:eastAsia="Times New Roman" w:hAnsi="PT Astra Serif" w:cs="Times New Roman"/>
          <w:sz w:val="28"/>
          <w:szCs w:val="20"/>
        </w:rPr>
      </w:pPr>
      <w:r>
        <w:rPr>
          <w:rFonts w:ascii="PT Astra Serif" w:eastAsia="Times New Roman" w:hAnsi="PT Astra Serif" w:cs="Times New Roman"/>
          <w:sz w:val="28"/>
          <w:szCs w:val="20"/>
        </w:rPr>
        <w:t>Администрации Тазовского района</w:t>
      </w:r>
    </w:p>
    <w:p>
      <w:pPr>
        <w:tabs>
          <w:tab w:val="left" w:pos="6780"/>
        </w:tabs>
        <w:spacing w:after="0" w:line="240" w:lineRule="auto"/>
        <w:ind w:left="9639"/>
        <w:rPr>
          <w:rFonts w:ascii="PT Astra Serif" w:eastAsia="Times New Roman" w:hAnsi="PT Astra Serif" w:cs="Times New Roman"/>
          <w:szCs w:val="20"/>
          <w:u w:val="single"/>
        </w:rPr>
      </w:pPr>
      <w:proofErr w:type="gramStart"/>
      <w:r>
        <w:rPr>
          <w:rFonts w:ascii="PT Astra Serif" w:eastAsia="Times New Roman" w:hAnsi="PT Astra Serif" w:cs="Times New Roman"/>
          <w:sz w:val="28"/>
          <w:szCs w:val="20"/>
        </w:rPr>
        <w:t>от</w:t>
      </w:r>
      <w:proofErr w:type="gramEnd"/>
      <w:r>
        <w:rPr>
          <w:rFonts w:ascii="PT Astra Serif" w:eastAsia="Times New Roman" w:hAnsi="PT Astra Serif" w:cs="Times New Roman"/>
          <w:sz w:val="28"/>
          <w:szCs w:val="20"/>
        </w:rPr>
        <w:t xml:space="preserve"> 06 апреля 2021 года № 140-р</w:t>
      </w:r>
      <w:bookmarkStart w:id="0" w:name="_GoBack"/>
      <w:bookmarkEnd w:id="0"/>
    </w:p>
    <w:p>
      <w:pPr>
        <w:spacing w:after="0" w:line="240" w:lineRule="auto"/>
        <w:jc w:val="center"/>
        <w:outlineLvl w:val="0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outlineLvl w:val="0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outlineLvl w:val="0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СТРУКТУРА</w:t>
      </w:r>
    </w:p>
    <w:p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администрации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села Газ-Сале Администрации Тазовского района</w:t>
      </w:r>
    </w:p>
    <w:p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pict>
          <v:rect id="_x0000_s1026" style="position:absolute;margin-left:264pt;margin-top:3.7pt;width:190.05pt;height:34.35pt;z-index:251658240">
            <v:textbox style="mso-next-textbox:#_x0000_s1026">
              <w:txbxContent>
                <w:p>
                  <w:pPr>
                    <w:jc w:val="center"/>
                    <w:rPr>
                      <w:rFonts w:ascii="PT Astra Serif" w:hAnsi="PT Astra Serif"/>
                      <w:b/>
                      <w:sz w:val="28"/>
                      <w:szCs w:val="28"/>
                    </w:rPr>
                  </w:pPr>
                  <w:r>
                    <w:rPr>
                      <w:rFonts w:ascii="PT Astra Serif" w:hAnsi="PT Astra Serif"/>
                      <w:b/>
                      <w:sz w:val="28"/>
                      <w:szCs w:val="28"/>
                    </w:rPr>
                    <w:t>Глава администрации</w:t>
                  </w:r>
                </w:p>
              </w:txbxContent>
            </v:textbox>
          </v:rect>
        </w:pict>
      </w:r>
    </w:p>
    <w:p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58.05pt;margin-top:9.55pt;width:0;height:27pt;z-index:251664384" o:connectortype="straight">
            <v:stroke endarrow="block"/>
          </v:shape>
        </w:pict>
      </w:r>
    </w:p>
    <w:p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pict>
          <v:shape id="_x0000_s1038" type="#_x0000_t32" style="position:absolute;margin-left:626.55pt;margin-top:8.05pt;width:0;height:27pt;z-index:251667456" o:connectortype="straight">
            <v:stroke endarrow="block"/>
          </v:shape>
        </w:pict>
      </w:r>
      <w:r>
        <w:rPr>
          <w:rFonts w:ascii="PT Astra Serif" w:hAnsi="PT Astra Serif"/>
          <w:noProof/>
          <w:sz w:val="28"/>
          <w:szCs w:val="28"/>
        </w:rPr>
        <w:pict>
          <v:shape id="_x0000_s1037" type="#_x0000_t32" style="position:absolute;margin-left:72.75pt;margin-top:8.05pt;width:553.8pt;height:0;z-index:251666432" o:connectortype="straight"/>
        </w:pict>
      </w:r>
      <w:r>
        <w:rPr>
          <w:rFonts w:ascii="PT Astra Serif" w:hAnsi="PT Astra Serif"/>
          <w:noProof/>
          <w:sz w:val="28"/>
          <w:szCs w:val="28"/>
        </w:rPr>
        <w:pict>
          <v:shape id="_x0000_s1040" type="#_x0000_t32" style="position:absolute;margin-left:466.05pt;margin-top:8.05pt;width:0;height:27pt;z-index:251669504" o:connectortype="straight">
            <v:stroke endarrow="block"/>
          </v:shape>
        </w:pict>
      </w:r>
      <w:r>
        <w:rPr>
          <w:rFonts w:ascii="PT Astra Serif" w:hAnsi="PT Astra Serif"/>
          <w:noProof/>
          <w:sz w:val="28"/>
          <w:szCs w:val="28"/>
        </w:rPr>
        <w:pict>
          <v:shape id="_x0000_s1042" type="#_x0000_t32" style="position:absolute;margin-left:289.8pt;margin-top:8.05pt;width:.05pt;height:27pt;z-index:251671552" o:connectortype="straight">
            <v:stroke endarrow="block"/>
          </v:shape>
        </w:pict>
      </w:r>
      <w:r>
        <w:rPr>
          <w:rFonts w:ascii="PT Astra Serif" w:hAnsi="PT Astra Serif"/>
          <w:noProof/>
          <w:sz w:val="28"/>
          <w:szCs w:val="28"/>
        </w:rPr>
        <w:pict>
          <v:shape id="_x0000_s1041" type="#_x0000_t32" style="position:absolute;margin-left:72.75pt;margin-top:8.05pt;width:0;height:27pt;z-index:251670528" o:connectortype="straight">
            <v:stroke endarrow="block"/>
          </v:shape>
        </w:pict>
      </w:r>
    </w:p>
    <w:p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pict>
          <v:rect id="_x0000_s1029" style="position:absolute;margin-left:-15.45pt;margin-top:6.55pt;width:201pt;height:55.15pt;z-index:251661312">
            <v:textbox>
              <w:txbxContent>
                <w:p>
                  <w:pPr>
                    <w:spacing w:after="0" w:line="240" w:lineRule="auto"/>
                    <w:jc w:val="center"/>
                    <w:rPr>
                      <w:rFonts w:ascii="PT Astra Serif" w:hAnsi="PT Astra Serif"/>
                      <w:sz w:val="28"/>
                      <w:szCs w:val="28"/>
                    </w:rPr>
                  </w:pPr>
                  <w:r>
                    <w:rPr>
                      <w:rFonts w:ascii="PT Astra Serif" w:hAnsi="PT Astra Serif"/>
                      <w:sz w:val="28"/>
                      <w:szCs w:val="28"/>
                    </w:rPr>
                    <w:t>Сектор муниципального хозяйства, жизнеобеспечения и жилищных вопросов</w:t>
                  </w:r>
                </w:p>
              </w:txbxContent>
            </v:textbox>
          </v:rect>
        </w:pict>
      </w:r>
      <w:r>
        <w:rPr>
          <w:rFonts w:ascii="PT Astra Serif" w:hAnsi="PT Astra Serif"/>
          <w:noProof/>
          <w:sz w:val="28"/>
          <w:szCs w:val="28"/>
        </w:rPr>
        <w:pict>
          <v:rect id="_x0000_s1027" style="position:absolute;margin-left:564.85pt;margin-top:6.55pt;width:142.7pt;height:46.15pt;z-index:251659264">
            <v:textbox style="mso-next-textbox:#_x0000_s1027">
              <w:txbxContent>
                <w:p>
                  <w:pPr>
                    <w:spacing w:after="0" w:line="240" w:lineRule="auto"/>
                    <w:jc w:val="center"/>
                    <w:rPr>
                      <w:rFonts w:ascii="PT Astra Serif" w:hAnsi="PT Astra Serif"/>
                      <w:i/>
                      <w:sz w:val="24"/>
                      <w:szCs w:val="24"/>
                    </w:rPr>
                  </w:pPr>
                  <w:r>
                    <w:rPr>
                      <w:rFonts w:ascii="PT Astra Serif" w:hAnsi="PT Astra Serif"/>
                      <w:sz w:val="28"/>
                      <w:szCs w:val="28"/>
                    </w:rPr>
                    <w:t>Специалист 1 категории</w:t>
                  </w:r>
                  <w:r>
                    <w:rPr>
                      <w:rFonts w:ascii="PT Astra Serif" w:hAnsi="PT Astra Serif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PT Astra Serif" w:hAnsi="PT Astra Serif"/>
                      <w:i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PT Astra Serif" w:hAnsi="PT Astra Serif"/>
          <w:noProof/>
          <w:sz w:val="28"/>
          <w:szCs w:val="28"/>
        </w:rPr>
        <w:pict>
          <v:rect id="_x0000_s1031" style="position:absolute;margin-left:394.8pt;margin-top:6.55pt;width:157.5pt;height:46.15pt;z-index:251663360">
            <v:textbox>
              <w:txbxContent>
                <w:p>
                  <w:pPr>
                    <w:jc w:val="center"/>
                    <w:rPr>
                      <w:rFonts w:ascii="PT Astra Serif" w:hAnsi="PT Astra Serif"/>
                      <w:sz w:val="28"/>
                      <w:szCs w:val="28"/>
                    </w:rPr>
                  </w:pPr>
                  <w:r>
                    <w:rPr>
                      <w:rFonts w:ascii="PT Astra Serif" w:hAnsi="PT Astra Serif"/>
                      <w:sz w:val="28"/>
                      <w:szCs w:val="28"/>
                    </w:rPr>
                    <w:t>Отдел бухгалтерского учета и финансов</w:t>
                  </w:r>
                </w:p>
              </w:txbxContent>
            </v:textbox>
          </v:rect>
        </w:pict>
      </w:r>
      <w:r>
        <w:rPr>
          <w:rFonts w:ascii="PT Astra Serif" w:hAnsi="PT Astra Serif"/>
          <w:noProof/>
          <w:sz w:val="28"/>
          <w:szCs w:val="28"/>
        </w:rPr>
        <w:pict>
          <v:rect id="_x0000_s1030" style="position:absolute;margin-left:192.3pt;margin-top:6.55pt;width:198pt;height:46.15pt;z-index:251662336">
            <v:textbox>
              <w:txbxContent>
                <w:p>
                  <w:pPr>
                    <w:spacing w:after="0" w:line="240" w:lineRule="auto"/>
                    <w:jc w:val="center"/>
                    <w:rPr>
                      <w:rFonts w:ascii="PT Astra Serif" w:hAnsi="PT Astra Serif"/>
                      <w:sz w:val="28"/>
                      <w:szCs w:val="28"/>
                    </w:rPr>
                  </w:pPr>
                  <w:r>
                    <w:rPr>
                      <w:rFonts w:ascii="PT Astra Serif" w:hAnsi="PT Astra Serif"/>
                      <w:sz w:val="28"/>
                      <w:szCs w:val="28"/>
                    </w:rPr>
                    <w:t>Сектор организационных вопросов и персонала</w:t>
                  </w:r>
                </w:p>
              </w:txbxContent>
            </v:textbox>
          </v:rect>
        </w:pict>
      </w:r>
    </w:p>
    <w:p>
      <w:pPr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38"/>
        <o:r id="V:Rule2" type="connector" idref="#_x0000_s1032"/>
        <o:r id="V:Rule3" type="connector" idref="#_x0000_s1037"/>
        <o:r id="V:Rule4" type="connector" idref="#_x0000_s1042"/>
        <o:r id="V:Rule5" type="connector" idref="#_x0000_s1041"/>
        <o:r id="V:Rule6" type="connector" idref="#_x0000_s1040"/>
      </o:rules>
    </o:shapelayout>
  </w:shapeDefaults>
  <w:decimalSymbol w:val=","/>
  <w:listSeparator w:val=";"/>
  <w15:docId w15:val="{65EA8075-C533-4640-90D5-E4D8D1380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села Га-Сале</Company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отдела</dc:creator>
  <cp:keywords/>
  <dc:description/>
  <cp:lastModifiedBy>Фадеева Алена Михайловна</cp:lastModifiedBy>
  <cp:revision>31</cp:revision>
  <cp:lastPrinted>2021-04-07T05:39:00Z</cp:lastPrinted>
  <dcterms:created xsi:type="dcterms:W3CDTF">2020-11-17T13:08:00Z</dcterms:created>
  <dcterms:modified xsi:type="dcterms:W3CDTF">2021-04-07T05:39:00Z</dcterms:modified>
</cp:coreProperties>
</file>